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pPr>
      <w:r>
        <w:drawing>
          <wp:inline distT="0" distB="0" distL="0" distR="0">
            <wp:extent cx="609600" cy="6096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609600" cy="609600"/>
                    </a:xfrm>
                    <a:prstGeom prst="rect">
                      <a:avLst/>
                    </a:prstGeom>
                  </pic:spPr>
                </pic:pic>
              </a:graphicData>
            </a:graphic>
          </wp:inline>
        </w:drawing>
      </w:r>
    </w:p>
    <w:p>
      <w:pPr>
        <w:spacing w:after="120"/>
      </w:pPr>
      <w:r>
        <w:rPr>
          <w:b/>
          <w:bCs/>
          <w:color w:val="DB143C"/>
          <w:spacing w:val="40"/>
          <w:sz w:val="17"/>
          <w:szCs w:val="17"/>
        </w:rPr>
        <w:t xml:space="preserve">MÁSTER · LA EMPRESA AUTOMATIZADA · MÓDULO 9 · DEPARTAMENTOS AUTOMATIZADOS</w:t>
      </w:r>
    </w:p>
    <w:p>
      <w:pPr>
        <w:pStyle w:val="Heading1"/>
      </w:pPr>
      <w:r>
        <w:t xml:space="preserve">Lección 9.1 · Caso 1 · Comercial: de la empresa objetivo a la oportunidad</w:t>
      </w:r>
    </w:p>
    <w:p>
      <w:pPr>
        <w:pBdr>
          <w:bottom w:val="single" w:color="D1D5DB" w:sz="8" w:space="6"/>
        </w:pBdr>
        <w:spacing w:after="240"/>
      </w:pPr>
      <w:r>
        <w:rPr>
          <w:color w:val="363C4A"/>
          <w:sz w:val="20"/>
          <w:szCs w:val="20"/>
        </w:rPr>
        <w:t xml:space="preserve">Vídeo: 10 min · Lectura: 8 min</w:t>
      </w:r>
    </w:p>
    <w:p>
      <w:pPr>
        <w:shd w:fill="FBE7EC" w:color="auto" w:val="clear"/>
        <w:spacing w:after="240"/>
        <w:ind w:left="200" w:right="200"/>
      </w:pPr>
      <w:r>
        <w:rPr>
          <w:b/>
          <w:bCs/>
          <w:color w:val="DB143C"/>
        </w:rPr>
        <w:t xml:space="preserve">Entregable de la lección: </w:t>
      </w:r>
      <w:r>
        <w:t xml:space="preserve">El flujo comercial de la empresa del alumno automatizado: lista de 50 empresas objetivo con decisor, cargadas en el CRM, campaña en frío enviada con respuestas al CRM y seguimiento documentado como skill.</w:t>
      </w:r>
    </w:p>
    <w:p>
      <w:pPr>
        <w:pStyle w:val="Heading2"/>
      </w:pPr>
      <w:r>
        <w:t xml:space="preserve">El departamento que paga los demás</w:t>
      </w:r>
    </w:p>
    <w:p>
      <w:pPr>
        <w:spacing w:after="160"/>
        <w:jc w:val="both"/>
      </w:pPr>
      <w:r>
        <w:t xml:space="preserve">El caso comercial: de «quiero vender a X» a oportunidades en el CRM con reuniones agendadas, en una semana, sin contratar. Es el primer caso del módulo 9 porque es el que financia el resto y porque usa casi todo lo aprendido: navegador (7.3), skills (8.2), escritura en Odoo (6.3), monitores (8.6), consentimiento (7.7).</w:t>
      </w:r>
    </w:p>
    <w:p>
      <w:pPr>
        <w:pStyle w:val="Heading2"/>
      </w:pPr>
      <w:r>
        <w:t xml:space="preserve">El flujo completo: quién hace cada paso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250"/>
        <w:gridCol w:w="2250"/>
        <w:gridCol w:w="2250"/>
        <w:gridCol w:w="2250"/>
      </w:tblGrid>
      <w:tr>
        <w:trPr>
          <w:tblHeader/>
        </w:trPr>
        <w:tc>
          <w:tcPr>
            <w:tcW w:type="dxa" w:w="225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Paso</w:t>
            </w:r>
          </w:p>
        </w:tc>
        <w:tc>
          <w:tcPr>
            <w:tcW w:type="dxa" w:w="225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Qué</w:t>
            </w:r>
          </w:p>
        </w:tc>
        <w:tc>
          <w:tcPr>
            <w:tcW w:type="dxa" w:w="225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Quién</w:t>
            </w:r>
          </w:p>
        </w:tc>
        <w:tc>
          <w:tcPr>
            <w:tcW w:type="dxa" w:w="225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Herramienta</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1</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Definir el objetivo: sector, tamaño, zona, qué vendemos, por qué a ellos</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Persona</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Una página en </w:t>
            </w:r>
            <w:r>
              <w:rPr>
                <w:rFonts w:ascii="Consolas" w:cs="Consolas" w:eastAsia="Consolas" w:hAnsi="Consolas"/>
                <w:color w:val="DB143C"/>
                <w:sz w:val="20"/>
                <w:szCs w:val="20"/>
              </w:rPr>
              <w:t xml:space="preserve">02-comercial/campanas/[nombre]/objetivo.md</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2</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Buscar empresas que encajen</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IA (agentes en paralelo)</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Navegador: directorios, registro mercantil, webs</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3</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Encontrar al decisor: nombre, cargo, correo profesional</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IA</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Webs, perfiles públicos profesionales</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4</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Cargar en CRM con etiqueta de campaña y comercial</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IA (skill alta-cliente en lote)</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MCP Odoo</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5</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Correo en frío personalizado, con marca</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IA escribe; persona aprueba modelo y muestra</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Plantilla de la empresa</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6</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Enviar en lotes; registrar respuestas</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Odoo envía; monitor clasifica; persona confirma acción</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Odoo correo/marketing; monitor (8.6)</w:t>
            </w:r>
          </w:p>
        </w:tc>
      </w:tr>
      <w:tr>
        <w:trPr>
          <w:tblHeader w:val="false"/>
        </w:trPr>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7</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Seguimiento hasta oportunidad o descarte</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IA propone; comercial llama; IA agenda</w:t>
            </w:r>
          </w:p>
        </w:tc>
        <w:tc>
          <w:tcPr>
            <w:tcW w:type="dxa" w:w="225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CRM, calendario</w:t>
            </w:r>
          </w:p>
        </w:tc>
      </w:tr>
    </w:tbl>
    <w:p>
      <w:pPr>
        <w:spacing w:after="120"/>
      </w:pPr>
    </w:p>
    <w:p>
      <w:pPr>
        <w:pStyle w:val="Heading2"/>
      </w:pPr>
      <w:r>
        <w:t xml:space="preserve">Paso 1 · El objetivo</w:t>
      </w:r>
    </w:p>
    <w:p>
      <w:pPr>
        <w:spacing w:after="160"/>
        <w:jc w:val="both"/>
      </w:pPr>
      <w:r>
        <w:t xml:space="preserve">Una página que responde: ¿a quién? (sector, tamaño, zona), ¿qué les vendemos?, ¿qué problema suyo resolvemos?, ¿qué prueba tenemos? (un cliente parecido), ¿qué pedimos? (una llamada de 15 minutos). Sin esta página, la campaña es ruido.</w:t>
      </w:r>
    </w:p>
    <w:p>
      <w:pPr>
        <w:pStyle w:val="Heading2"/>
      </w:pPr>
      <w:r>
        <w:t xml:space="preserve">TRAMO TÉCNICO · Pasos 2 y 3 · Buscar y encontrar al decisor</w:t>
      </w:r>
    </w:p>
    <w:p>
      <w:pPr>
        <w:shd w:fill="1C1819" w:color="auto" w:val="clear"/>
        <w:spacing w:after="0" w:before="120"/>
        <w:ind w:left="240" w:right="240"/>
      </w:pPr>
      <w:r>
        <w:rPr>
          <w:rFonts w:ascii="Consolas" w:cs="Consolas" w:eastAsia="Consolas" w:hAnsi="Consolas"/>
          <w:color w:val="F3EDED"/>
          <w:sz w:val="19"/>
          <w:szCs w:val="19"/>
        </w:rPr>
        <w:t xml:space="preserve">Objetivo: 02-comercial/campanas/talleres-09-26/objetivo.md. Busca 50 talleres de más de 10 empleados en</w:t>
      </w:r>
    </w:p>
    <w:p>
      <w:pPr>
        <w:shd w:fill="1C1819" w:color="auto" w:val="clear"/>
        <w:spacing w:after="0" w:before="0"/>
        <w:ind w:left="240" w:right="240"/>
      </w:pPr>
      <w:r>
        <w:rPr>
          <w:rFonts w:ascii="Consolas" w:cs="Consolas" w:eastAsia="Consolas" w:hAnsi="Consolas"/>
          <w:color w:val="F3EDED"/>
          <w:sz w:val="19"/>
          <w:szCs w:val="19"/>
        </w:rPr>
        <w:t xml:space="preserve">Andalucía. Fuentes: directorios sectoriales, registro mercantil (tamaño), sus webs, perfiles profesionales</w:t>
      </w:r>
    </w:p>
    <w:p>
      <w:pPr>
        <w:shd w:fill="1C1819" w:color="auto" w:val="clear"/>
        <w:spacing w:after="0" w:before="0"/>
        <w:ind w:left="240" w:right="240"/>
      </w:pPr>
      <w:r>
        <w:rPr>
          <w:rFonts w:ascii="Consolas" w:cs="Consolas" w:eastAsia="Consolas" w:hAnsi="Consolas"/>
          <w:color w:val="F3EDED"/>
          <w:sz w:val="19"/>
          <w:szCs w:val="19"/>
        </w:rPr>
        <w:t xml:space="preserve">públicos. Para cada uno: razón social, web, teléfono, ciudad, tamaño estimado, nombre y cargo de quien decide</w:t>
      </w:r>
    </w:p>
    <w:p>
      <w:pPr>
        <w:shd w:fill="1C1819" w:color="auto" w:val="clear"/>
        <w:spacing w:after="0" w:before="0"/>
        <w:ind w:left="240" w:right="240"/>
      </w:pPr>
      <w:r>
        <w:rPr>
          <w:rFonts w:ascii="Consolas" w:cs="Consolas" w:eastAsia="Consolas" w:hAnsi="Consolas"/>
          <w:color w:val="F3EDED"/>
          <w:sz w:val="19"/>
          <w:szCs w:val="19"/>
        </w:rPr>
        <w:t xml:space="preserve">(gerente o responsable de compras), correo profesional (de empresa; nunca personal), y una frase sobre algo</w:t>
      </w:r>
    </w:p>
    <w:p>
      <w:pPr>
        <w:shd w:fill="1C1819" w:color="auto" w:val="clear"/>
        <w:spacing w:after="0" w:before="0"/>
        <w:ind w:left="240" w:right="240"/>
      </w:pPr>
      <w:r>
        <w:rPr>
          <w:rFonts w:ascii="Consolas" w:cs="Consolas" w:eastAsia="Consolas" w:hAnsi="Consolas"/>
          <w:color w:val="F3EDED"/>
          <w:sz w:val="19"/>
          <w:szCs w:val="19"/>
        </w:rPr>
        <w:t xml:space="preserve">concreto de su web que sirva para personalizar. Usa varios agentes en paralelo y uno que consolide y elimine</w:t>
      </w:r>
    </w:p>
    <w:p>
      <w:pPr>
        <w:shd w:fill="1C1819" w:color="auto" w:val="clear"/>
        <w:spacing w:after="0" w:before="0"/>
        <w:ind w:left="240" w:right="240"/>
      </w:pPr>
      <w:r>
        <w:rPr>
          <w:rFonts w:ascii="Consolas" w:cs="Consolas" w:eastAsia="Consolas" w:hAnsi="Consolas"/>
          <w:color w:val="F3EDED"/>
          <w:sz w:val="19"/>
          <w:szCs w:val="19"/>
        </w:rPr>
        <w:t xml:space="preserve">duplicados. Entrégamelo en tabla en 02-comercial/campanas/talleres-09-26/objetivos.xlsx para que lo revise.</w:t>
      </w:r>
    </w:p>
    <w:p>
      <w:pPr>
        <w:shd w:fill="1C1819" w:color="auto" w:val="clear"/>
        <w:spacing w:after="200" w:before="0"/>
        <w:ind w:left="240" w:right="240"/>
      </w:pPr>
      <w:r>
        <w:rPr>
          <w:rFonts w:ascii="Consolas" w:cs="Consolas" w:eastAsia="Consolas" w:hAnsi="Consolas"/>
          <w:color w:val="F3EDED"/>
          <w:sz w:val="19"/>
          <w:szCs w:val="19"/>
        </w:rPr>
        <w:t xml:space="preserve">Solo datos públicos y profesionales.</w:t>
      </w:r>
    </w:p>
    <w:p>
      <w:pPr>
        <w:spacing w:after="160"/>
        <w:jc w:val="both"/>
      </w:pPr>
      <w:r>
        <w:t xml:space="preserve">Reglas: datos públicos y profesionales (correos de empresa); nada de comprar bases de datos ni de datos personales; y la revisión humana de la tabla antes de cargar (descarta competidores, clientes actuales, empresas cerradas). Base legal del correo en frío a empresas: interés legítimo B2B con derecho de oposición fácil (lección 10.2); a personas físicas, no sin consentimiento.</w:t>
      </w:r>
    </w:p>
    <w:p>
      <w:pPr>
        <w:pStyle w:val="Heading2"/>
      </w:pPr>
      <w:r>
        <w:t xml:space="preserve">Paso 4 · Cargar en el CRM</w:t>
      </w:r>
    </w:p>
    <w:p>
      <w:pPr>
        <w:spacing w:after="160"/>
        <w:jc w:val="both"/>
      </w:pPr>
      <w:r>
        <w:t xml:space="preserve">La skill alta-cliente (8.2) en lote: 50 contactos (empresa + persona), 50 oportunidades en etapa Nuevo, etiqueta «Campaña talleres 09-26», comercial asignado, importe estimado por defecto de la campaña. Plan, permiso, ejecución, comprobación (6.3).</w:t>
      </w:r>
    </w:p>
    <w:p>
      <w:pPr>
        <w:pStyle w:val="Heading2"/>
      </w:pPr>
      <w:r>
        <w:t xml:space="preserve">Paso 5 · El correo en frío</w:t>
      </w:r>
    </w:p>
    <w:p>
      <w:pPr>
        <w:spacing w:after="160"/>
        <w:jc w:val="both"/>
      </w:pPr>
      <w:r>
        <w:t xml:space="preserve">Tres párrafos, 120 palabras:</w:t>
      </w:r>
    </w:p>
    <w:p>
      <w:pPr>
        <w:pStyle w:val="ListParagraph"/>
        <w:numPr>
          <w:ilvl w:val="0"/>
          <w:numId w:val="2"/>
        </w:numPr>
        <w:spacing w:after="80"/>
      </w:pPr>
      <w:r>
        <w:rPr>
          <w:b/>
          <w:bCs/>
        </w:rPr>
        <w:t xml:space="preserve">Un problema concreto</w:t>
      </w:r>
      <w:r>
        <w:t xml:space="preserve"> del sector, con un detalle de su web (la frase del paso 3).</w:t>
      </w:r>
    </w:p>
    <w:p>
      <w:pPr>
        <w:pStyle w:val="ListParagraph"/>
        <w:numPr>
          <w:ilvl w:val="0"/>
          <w:numId w:val="2"/>
        </w:numPr>
        <w:spacing w:after="80"/>
      </w:pPr>
      <w:r>
        <w:rPr>
          <w:b/>
          <w:bCs/>
        </w:rPr>
        <w:t xml:space="preserve">Una frase</w:t>
      </w:r>
      <w:r>
        <w:t xml:space="preserve"> de lo que hacemos y una prueba (un cliente parecido, un dato).</w:t>
      </w:r>
    </w:p>
    <w:p>
      <w:pPr>
        <w:pStyle w:val="ListParagraph"/>
        <w:numPr>
          <w:ilvl w:val="0"/>
          <w:numId w:val="2"/>
        </w:numPr>
        <w:spacing w:after="80"/>
      </w:pPr>
      <w:r>
        <w:rPr>
          <w:b/>
          <w:bCs/>
        </w:rPr>
        <w:t xml:space="preserve">Una pregunta</w:t>
      </w:r>
      <w:r>
        <w:t xml:space="preserve"> fácil: «¿tiene 15 minutos el martes o el jueves?».</w:t>
      </w:r>
    </w:p>
    <w:p>
      <w:pPr>
        <w:spacing w:after="160"/>
        <w:jc w:val="both"/>
      </w:pPr>
      <w:r>
        <w:t xml:space="preserve">Con tu marca, tu firma, sin adjuntos, con enlace para decir «no me interesa» (oposición). La IA escribe una versión por empresa; la persona aprueba el modelo y una muestra de 10. Se guarda como plantilla de correo en Odoo con campos dinámicos.</w:t>
      </w:r>
    </w:p>
    <w:p>
      <w:pPr>
        <w:pStyle w:val="Heading2"/>
      </w:pPr>
      <w:r>
        <w:t xml:space="preserve">TRAMO TÉCNICO · Paso 6 · Enviar y registrar</w:t>
      </w:r>
    </w:p>
    <w:p>
      <w:pPr>
        <w:pStyle w:val="ListParagraph"/>
        <w:numPr>
          <w:ilvl w:val="0"/>
          <w:numId w:val="3"/>
        </w:numPr>
        <w:spacing w:after="80"/>
      </w:pPr>
      <w:r>
        <w:rPr>
          <w:b/>
          <w:bCs/>
        </w:rPr>
        <w:t xml:space="preserve">Envío:</w:t>
      </w:r>
      <w:r>
        <w:t xml:space="preserve"> desde Odoo, 20 al día, desde el buzón del comercial (no desde marketing masivo), con seguimiento de apertura. Cada correo queda en su oportunidad. Odoo Marketing automation (5.9) puede programar los lotes y el segundo correo.</w:t>
      </w:r>
    </w:p>
    <w:p>
      <w:pPr>
        <w:pStyle w:val="ListParagraph"/>
        <w:numPr>
          <w:ilvl w:val="0"/>
          <w:numId w:val="3"/>
        </w:numPr>
        <w:spacing w:after="80"/>
      </w:pPr>
      <w:r>
        <w:rPr>
          <w:b/>
          <w:bCs/>
        </w:rPr>
        <w:t xml:space="preserve">Respuestas:</w:t>
      </w:r>
      <w:r>
        <w:t xml:space="preserve"> entran en la oportunidad (alias de correo del CRM o buzón del comercial conectado).</w:t>
      </w:r>
    </w:p>
    <w:p>
      <w:pPr>
        <w:pStyle w:val="ListParagraph"/>
        <w:numPr>
          <w:ilvl w:val="0"/>
          <w:numId w:val="3"/>
        </w:numPr>
        <w:spacing w:after="80"/>
      </w:pPr>
      <w:r>
        <w:rPr>
          <w:b/>
          <w:bCs/>
        </w:rPr>
        <w:t xml:space="preserve">Monitor</w:t>
      </w:r>
      <w:r>
        <w:t xml:space="preserve"> (8.6): clasifica cada respuesta (interesado / no ahora / no / rebote / fuera de la oficina), mueve la etapa, registra el motivo, y </w:t>
      </w:r>
      <w:r>
        <w:rPr>
          <w:b/>
          <w:bCs/>
        </w:rPr>
        <w:t xml:space="preserve">propone</w:t>
      </w:r>
      <w:r>
        <w:t xml:space="preserve"> la siguiente acción (agendar, recordatorio en 3 meses, descartar). La persona confirma en un clic. Nunca responde solo.</w:t>
      </w:r>
    </w:p>
    <w:p>
      <w:pPr>
        <w:pStyle w:val="ListParagraph"/>
        <w:numPr>
          <w:ilvl w:val="0"/>
          <w:numId w:val="3"/>
        </w:numPr>
        <w:spacing w:after="80"/>
      </w:pPr>
      <w:r>
        <w:rPr>
          <w:b/>
          <w:bCs/>
        </w:rPr>
        <w:t xml:space="preserve">Rebotes y bajas:</w:t>
      </w:r>
      <w:r>
        <w:t xml:space="preserve"> el monitor marca el contacto y lo excluye de futuros envíos.</w:t>
      </w:r>
    </w:p>
    <w:p>
      <w:pPr>
        <w:pStyle w:val="Heading2"/>
      </w:pPr>
      <w:r>
        <w:t xml:space="preserve">Paso 7 · Seguimiento</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3000"/>
        <w:gridCol w:w="3000"/>
      </w:tblGrid>
      <w:tr>
        <w:trPr>
          <w:tblHeader/>
        </w:trPr>
        <w:tc>
          <w:tcPr>
            <w:tcW w:type="dxa" w:w="300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Situación</w:t>
            </w:r>
          </w:p>
        </w:tc>
        <w:tc>
          <w:tcPr>
            <w:tcW w:type="dxa" w:w="300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Acción</w:t>
            </w:r>
          </w:p>
        </w:tc>
        <w:tc>
          <w:tcPr>
            <w:tcW w:type="dxa" w:w="3000"/>
            <w:tcBorders>
              <w:top w:val="single" w:color="D1D5DB" w:sz="4"/>
              <w:left w:val="none" w:color="FFFFFF" w:sz="0"/>
              <w:bottom w:val="single" w:color="D1D5DB" w:sz="4"/>
              <w:right w:val="none" w:color="FFFFFF" w:sz="0"/>
            </w:tcBorders>
            <w:shd w:fill="F3F0EF" w:color="auto" w:val="clear"/>
            <w:tcMar>
              <w:top w:type="dxa" w:w="80"/>
              <w:left w:type="dxa" w:w="120"/>
              <w:bottom w:type="dxa" w:w="80"/>
              <w:right w:type="dxa" w:w="120"/>
            </w:tcMar>
          </w:tcPr>
          <w:p>
            <w:pPr>
              <w:spacing w:after="0"/>
            </w:pPr>
            <w:r>
              <w:rPr>
                <w:b/>
                <w:bCs/>
                <w:color w:val="363C4A"/>
                <w:sz w:val="18"/>
                <w:szCs w:val="18"/>
              </w:rPr>
              <w:t xml:space="preserve">Quién</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Sin respuesta a los 5 días</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Segundo correo, distinto y más corto</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IA prepara; Odoo envía tras OK</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Interesado</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Ficha preparada (7.2) y llamada</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Comercial</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Pide reunión</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Propuesta de hueco del calendario y confirmación</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IA propone; persona envía</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No ahora</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Actividad en 3 meses</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IA</w:t>
            </w:r>
          </w:p>
        </w:tc>
      </w:tr>
      <w:tr>
        <w:trPr>
          <w:tblHeader w:val="false"/>
        </w:trPr>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No</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Descarte con motivo</w:t>
            </w:r>
          </w:p>
        </w:tc>
        <w:tc>
          <w:tcPr>
            <w:tcW w:type="dxa" w:w="3000"/>
            <w:tcBorders>
              <w:top w:val="single" w:color="D1D5DB" w:sz="4"/>
              <w:left w:val="none" w:color="FFFFFF" w:sz="0"/>
              <w:bottom w:val="single" w:color="D1D5DB" w:sz="4"/>
              <w:right w:val="none" w:color="FFFFFF" w:sz="0"/>
            </w:tcBorders>
            <w:tcMar>
              <w:top w:type="dxa" w:w="80"/>
              <w:left w:type="dxa" w:w="120"/>
              <w:bottom w:type="dxa" w:w="80"/>
              <w:right w:type="dxa" w:w="120"/>
            </w:tcMar>
          </w:tcPr>
          <w:p>
            <w:pPr>
              <w:spacing w:after="0"/>
            </w:pPr>
            <w:r>
              <w:rPr>
                <w:sz w:val="20"/>
                <w:szCs w:val="20"/>
              </w:rPr>
              <w:t xml:space="preserve">IA</w:t>
            </w:r>
          </w:p>
        </w:tc>
      </w:tr>
    </w:tbl>
    <w:p>
      <w:pPr>
        <w:spacing w:after="120"/>
      </w:pPr>
    </w:p>
    <w:p>
      <w:pPr>
        <w:spacing w:after="160"/>
        <w:jc w:val="both"/>
      </w:pPr>
      <w:r>
        <w:t xml:space="preserve">Todo documentado como skill </w:t>
      </w:r>
      <w:r>
        <w:rPr>
          <w:rFonts w:ascii="Consolas" w:cs="Consolas" w:eastAsia="Consolas" w:hAnsi="Consolas"/>
          <w:color w:val="DB143C"/>
          <w:sz w:val="19"/>
          <w:szCs w:val="19"/>
        </w:rPr>
        <w:t xml:space="preserve">campana-comercial</w:t>
      </w:r>
      <w:r>
        <w:t xml:space="preserve"> con los siete pasos, para que la segunda campaña se lance con un comando.</w:t>
      </w:r>
    </w:p>
    <w:p>
      <w:pPr>
        <w:pStyle w:val="Heading2"/>
      </w:pPr>
      <w:r>
        <w:t xml:space="preserve">Qué mide</w:t>
      </w:r>
    </w:p>
    <w:p>
      <w:pPr>
        <w:spacing w:after="160"/>
        <w:jc w:val="both"/>
      </w:pPr>
      <w:r>
        <w:t xml:space="preserve">Panel del CRM: enviados, abiertos, respuestas, reuniones, oportunidades en propuesta, ganadas; por sector, por asunto de correo, por comercial. Cada campaña mejora la siguiente: el asunto que abre más, el sector que responde mejor, el día que funciona.</w:t>
      </w:r>
    </w:p>
    <w:p>
      <w:pPr>
        <w:pStyle w:val="Heading2"/>
      </w:pPr>
      <w:r>
        <w:t xml:space="preserve">Errores frecuentes</w:t>
      </w:r>
    </w:p>
    <w:p>
      <w:pPr>
        <w:pStyle w:val="ListParagraph"/>
        <w:numPr>
          <w:ilvl w:val="0"/>
          <w:numId w:val="3"/>
        </w:numPr>
        <w:spacing w:after="80"/>
      </w:pPr>
      <w:r>
        <w:rPr>
          <w:b/>
          <w:bCs/>
        </w:rPr>
        <w:t xml:space="preserve">Sin página de objetivo.</w:t>
      </w:r>
      <w:r>
        <w:t xml:space="preserve"> Ruido.</w:t>
      </w:r>
    </w:p>
    <w:p>
      <w:pPr>
        <w:pStyle w:val="ListParagraph"/>
        <w:numPr>
          <w:ilvl w:val="0"/>
          <w:numId w:val="3"/>
        </w:numPr>
        <w:spacing w:after="80"/>
      </w:pPr>
      <w:r>
        <w:rPr>
          <w:b/>
          <w:bCs/>
        </w:rPr>
        <w:t xml:space="preserve">Correos masivos desde marketing.</w:t>
      </w:r>
      <w:r>
        <w:t xml:space="preserve"> En frío, desde el buzón del comercial, en lotes.</w:t>
      </w:r>
    </w:p>
    <w:p>
      <w:pPr>
        <w:pStyle w:val="ListParagraph"/>
        <w:numPr>
          <w:ilvl w:val="0"/>
          <w:numId w:val="3"/>
        </w:numPr>
        <w:spacing w:after="80"/>
      </w:pPr>
      <w:r>
        <w:rPr>
          <w:b/>
          <w:bCs/>
        </w:rPr>
        <w:t xml:space="preserve">Dejar que el monitor responda.</w:t>
      </w:r>
      <w:r>
        <w:t xml:space="preserve"> Propone; una persona confirma.</w:t>
      </w:r>
    </w:p>
    <w:p>
      <w:pPr>
        <w:pStyle w:val="ListParagraph"/>
        <w:numPr>
          <w:ilvl w:val="0"/>
          <w:numId w:val="3"/>
        </w:numPr>
        <w:spacing w:after="80"/>
      </w:pPr>
      <w:r>
        <w:rPr>
          <w:b/>
          <w:bCs/>
        </w:rPr>
        <w:t xml:space="preserve">Datos personales o comprados.</w:t>
      </w:r>
      <w:r>
        <w:t xml:space="preserve"> Públicos y profesionales.</w:t>
      </w:r>
    </w:p>
    <w:p>
      <w:pPr>
        <w:pStyle w:val="ListParagraph"/>
        <w:numPr>
          <w:ilvl w:val="0"/>
          <w:numId w:val="3"/>
        </w:numPr>
        <w:spacing w:after="80"/>
      </w:pPr>
      <w:r>
        <w:rPr>
          <w:b/>
          <w:bCs/>
        </w:rPr>
        <w:t xml:space="preserve">No medir.</w:t>
      </w:r>
      <w:r>
        <w:t xml:space="preserve"> El panel es lo que hace mejor la siguiente campaña.</w:t>
      </w:r>
    </w:p>
    <w:p>
      <w:pPr>
        <w:pStyle w:val="Heading2"/>
      </w:pPr>
      <w:r>
        <w:t xml:space="preserve">Resumen de la lección</w:t>
      </w:r>
    </w:p>
    <w:p>
      <w:pPr>
        <w:spacing w:after="160"/>
        <w:jc w:val="both"/>
      </w:pPr>
      <w:r>
        <w:t xml:space="preserve">Siete pasos: objetivo, buscar, decisor, cargar, correo, enviar y registrar, seguir. La IA busca y escribe, Odoo envía y registra, el monitor clasifica y propone, la persona aprueba y llama. Documentado como skill; medido en el panel. En el siguiente caso, marketing y contenidos.</w:t>
      </w:r>
    </w:p>
    <w:p>
      <w:pPr>
        <w:pStyle w:val="Heading2"/>
      </w:pPr>
      <w:r>
        <w:t xml:space="preserve">Práctica · qué entregas</w:t>
      </w:r>
    </w:p>
    <w:p>
      <w:pPr>
        <w:spacing w:after="160"/>
        <w:jc w:val="both"/>
      </w:pPr>
      <w:r>
        <w:t xml:space="preserve">Ejecuta el flujo completo en tu empresa: objetivo, 50 empresas con decisor, carga en CRM, correo aprobado, campaña enviada desde Odoo en lotes, respuestas registradas y seguimiento documentado como skill. Sube el panel del CRM al final de la semana.</w:t>
      </w:r>
    </w:p>
    <w:p>
      <w:pPr>
        <w:pStyle w:val="Heading2"/>
      </w:pPr>
      <w:r>
        <w:t xml:space="preserve">Comprueba lo aprendido</w:t>
      </w:r>
    </w:p>
    <w:p>
      <w:pPr>
        <w:spacing w:after="60" w:before="120"/>
      </w:pPr>
      <w:r>
        <w:rPr>
          <w:b/>
          <w:bCs/>
        </w:rPr>
        <w:t xml:space="preserve">¿Desde dónde se envía el correo en frío?</w:t>
      </w:r>
    </w:p>
    <w:p>
      <w:pPr>
        <w:spacing w:after="40"/>
        <w:ind w:left="480"/>
      </w:pPr>
      <w:r>
        <w:rPr>
          <w:b/>
          <w:bCs/>
          <w:color w:val="DB143C"/>
        </w:rPr>
        <w:t xml:space="preserve">☑ Desde Odoo, en lotes pequeños, desde el buzón del comercial, con registro en cada oportunidad</w:t>
      </w:r>
    </w:p>
    <w:p>
      <w:pPr>
        <w:spacing w:after="40"/>
        <w:ind w:left="480"/>
      </w:pPr>
      <w:r>
        <w:rPr>
          <w:b w:val="false"/>
          <w:bCs w:val="false"/>
          <w:color w:val="0D0D0D"/>
        </w:rPr>
        <w:t xml:space="preserve">☐ Desde una herramienta de correo masivo</w:t>
      </w:r>
    </w:p>
    <w:p>
      <w:pPr>
        <w:spacing w:after="40"/>
        <w:ind w:left="480"/>
      </w:pPr>
      <w:r>
        <w:rPr>
          <w:b w:val="false"/>
          <w:bCs w:val="false"/>
          <w:color w:val="0D0D0D"/>
        </w:rPr>
        <w:t xml:space="preserve">☐ Desde el correo personal.</w:t>
      </w:r>
    </w:p>
    <w:p>
      <w:pPr>
        <w:spacing w:after="60" w:before="120"/>
      </w:pPr>
      <w:r>
        <w:rPr>
          <w:b/>
          <w:bCs/>
        </w:rPr>
        <w:t xml:space="preserve">¿Qué hace el monitor con las respuestas?</w:t>
      </w:r>
    </w:p>
    <w:p>
      <w:pPr>
        <w:spacing w:after="40"/>
        <w:ind w:left="480"/>
      </w:pPr>
      <w:r>
        <w:rPr>
          <w:b/>
          <w:bCs/>
          <w:color w:val="DB143C"/>
        </w:rPr>
        <w:t xml:space="preserve">☑ Las clasifica, mueve la etapa y propone la siguiente acción, que confirma una persona</w:t>
      </w:r>
    </w:p>
    <w:p>
      <w:pPr>
        <w:spacing w:after="40"/>
        <w:ind w:left="480"/>
      </w:pPr>
      <w:r>
        <w:rPr>
          <w:b w:val="false"/>
          <w:bCs w:val="false"/>
          <w:color w:val="0D0D0D"/>
        </w:rPr>
        <w:t xml:space="preserve">☐ Responde solo</w:t>
      </w:r>
    </w:p>
    <w:p>
      <w:pPr>
        <w:spacing w:after="40"/>
        <w:ind w:left="480"/>
      </w:pPr>
      <w:r>
        <w:rPr>
          <w:b w:val="false"/>
          <w:bCs w:val="false"/>
          <w:color w:val="0D0D0D"/>
        </w:rPr>
        <w:t xml:space="preserve">☐ Las borra.</w:t>
      </w:r>
    </w:p>
    <w:p>
      <w:pPr>
        <w:spacing w:after="60" w:before="120"/>
      </w:pPr>
      <w:r>
        <w:rPr>
          <w:b/>
          <w:bCs/>
        </w:rPr>
        <w:t xml:space="preserve">¿Qué datos se usan para encontrar al decisor?</w:t>
      </w:r>
    </w:p>
    <w:p>
      <w:pPr>
        <w:spacing w:after="40"/>
        <w:ind w:left="480"/>
      </w:pPr>
      <w:r>
        <w:rPr>
          <w:b/>
          <w:bCs/>
          <w:color w:val="DB143C"/>
        </w:rPr>
        <w:t xml:space="preserve">☑ Solo públicos y profesionales: webs, directorios, registro mercantil, perfiles profesionales; correos de empresa</w:t>
      </w:r>
    </w:p>
    <w:p>
      <w:pPr>
        <w:spacing w:after="40"/>
        <w:ind w:left="480"/>
      </w:pPr>
      <w:r>
        <w:rPr>
          <w:b w:val="false"/>
          <w:bCs w:val="false"/>
          <w:color w:val="0D0D0D"/>
        </w:rPr>
        <w:t xml:space="preserve">☐ Bases de datos compradas</w:t>
      </w:r>
    </w:p>
    <w:p>
      <w:pPr>
        <w:spacing w:after="40"/>
        <w:ind w:left="480"/>
      </w:pPr>
      <w:r>
        <w:rPr>
          <w:b w:val="false"/>
          <w:bCs w:val="false"/>
          <w:color w:val="0D0D0D"/>
        </w:rPr>
        <w:t xml:space="preserve">☐ Correos personales.</w:t>
      </w:r>
    </w:p>
    <w:sectPr>
      <w:headerReference w:type="default" r:id="rId7"/>
      <w:footerReference w:type="default" r:id="rId8"/>
      <w:pgSz w:w="11906" w:h="16838" w:orient="portrait"/>
      <w:pgMar w:top="1300" w:right="1400" w:bottom="1200" w:left="14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tabs>
        <w:tab w:val="right" w:pos="9600"/>
      </w:tabs>
    </w:pPr>
    <w:r>
      <w:rPr>
        <w:color w:val="363C4A"/>
        <w:sz w:val="16"/>
        <w:szCs w:val="16"/>
      </w:rPr>
      <w:t xml:space="preserve">Grupo Dauro · Dauro IA · Formación · Granada</w:t>
    </w:r>
    <w:r>
      <w:rPr>
        <w:color w:val="363C4A"/>
        <w:sz w:val="16"/>
        <w:szCs w:val="16"/>
      </w:rPr>
      <w:t xml:space="preserve">	Página </w:t>
      <w:fldChar w:fldCharType="begin"/>
      <w:instrText xml:space="preserve">PAGE</w:instrText>
      <w:fldChar w:fldCharType="separate"/>
      <w:fldChar w:fldCharType="end"/>
      <w:t xml:space="preserve"> de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1D5DB" w:sz="6" w:space="4"/>
      </w:pBdr>
      <w:tabs>
        <w:tab w:val="right" w:pos="9600"/>
      </w:tabs>
    </w:pPr>
    <w:r>
      <w:rPr>
        <w:color w:val="363C4A"/>
        <w:spacing w:val="40"/>
        <w:sz w:val="16"/>
        <w:szCs w:val="16"/>
      </w:rPr>
      <w:t xml:space="preserve">GRUPO DAURO · DAURO IA</w:t>
    </w:r>
    <w:r>
      <w:rPr>
        <w:color w:val="DB143C"/>
        <w:spacing w:val="40"/>
        <w:sz w:val="16"/>
        <w:szCs w:val="16"/>
      </w:rPr>
      <w:t xml:space="preserve">	MÁSTER · LA EMPRESA AUTOMATIZADA</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DB143C"/>
      </w:rPr>
    </w:lvl>
  </w:abstractNum>
  <w:abstractNum w:abstractNumId="3" w15:restartNumberingAfterBreak="0">
    <w:multiLevelType w:val="hybridMultilevel"/>
    <w:lvl w:ilvl="0" w15:tentative="1">
      <w:start w:val="1"/>
      <w:numFmt w:val="decimal"/>
      <w:lvlText w:val="%1."/>
      <w:lvlJc w:val="left"/>
      <w:pPr>
        <w:ind w:left="560" w:hanging="280"/>
      </w:pPr>
      <w:rPr>
        <w:b/>
        <w:bCs/>
        <w:color w:val="DB143C"/>
      </w:rPr>
    </w:lvl>
  </w:abstractNum>
  <w:num w:numId="1">
    <w:abstractNumId w:val="1"/>
    <w:lvlOverride w:ilvl="0">
      <w:startOverride w:val="1"/>
    </w:lvlOverride>
  </w:num>
  <w:num w:numId="2">
    <w:abstractNumId w:val="3"/>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0D0D0D"/>
        <w:sz w:val="22"/>
        <w:szCs w:val="22"/>
      </w:rPr>
    </w:rPrDefault>
    <w:pPrDefault>
      <w:pPr>
        <w:spacing w:line="300"/>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120"/>
      <w:outlineLvl w:val="0"/>
    </w:pPr>
    <w:rPr>
      <w:rFonts w:ascii="Arial" w:cs="Arial" w:eastAsia="Arial" w:hAnsi="Arial"/>
      <w:color w:val="0D0D0D"/>
      <w:sz w:val="44"/>
      <w:szCs w:val="44"/>
    </w:rPr>
  </w:style>
  <w:style w:type="paragraph" w:styleId="Heading2">
    <w:name w:val="Heading 2"/>
    <w:basedOn w:val="Normal"/>
    <w:next w:val="Normal"/>
    <w:qFormat/>
    <w:pPr>
      <w:spacing w:after="120" w:before="360"/>
      <w:outlineLvl w:val="1"/>
    </w:pPr>
    <w:rPr>
      <w:rFonts w:ascii="Arial" w:cs="Arial" w:eastAsia="Arial" w:hAnsi="Arial"/>
      <w:color w:val="DB143C"/>
      <w:sz w:val="30"/>
      <w:szCs w:val="30"/>
    </w:rPr>
  </w:style>
  <w:style w:type="paragraph" w:styleId="Heading3">
    <w:name w:val="Heading 3"/>
    <w:basedOn w:val="Normal"/>
    <w:next w:val="Normal"/>
    <w:qFormat/>
    <w:pPr>
      <w:spacing w:after="80" w:before="240"/>
      <w:outlineLvl w:val="2"/>
    </w:pPr>
    <w:rPr>
      <w:rFonts w:ascii="Calibri" w:cs="Calibri" w:eastAsia="Calibri" w:hAnsi="Calibri"/>
      <w:b/>
      <w:bCs/>
      <w:color w:val="0D0D0D"/>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cbde62dfd0254296157669b8af38227717c47f9f.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Lección 9.1 · Caso 1 · Comercial: de la empresa objetivo a la oportunidad</dc:title>
  <dc:creator>Dauro IA</dc:creator>
  <cp:lastModifiedBy>Un-named</cp:lastModifiedBy>
  <cp:revision>1</cp:revision>
  <dcterms:created xsi:type="dcterms:W3CDTF">2026-09-07T14:57:12.028Z</dcterms:created>
  <dcterms:modified xsi:type="dcterms:W3CDTF">2026-09-07T14:57:12.029Z</dcterms:modified>
</cp:coreProperties>
</file>

<file path=docProps/custom.xml><?xml version="1.0" encoding="utf-8"?>
<Properties xmlns="http://schemas.openxmlformats.org/officeDocument/2006/custom-properties" xmlns:vt="http://schemas.openxmlformats.org/officeDocument/2006/docPropsVTypes"/>
</file>