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drawing>
          <wp:inline distT="0" distB="0" distL="0" distR="0">
            <wp:extent cx="6096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DB143C"/>
          <w:spacing w:val="40"/>
          <w:sz w:val="17"/>
          <w:szCs w:val="17"/>
        </w:rPr>
        <w:t xml:space="preserve">LA EDITORIAL AUTOMATIZADA · MÓDULO 5 · EL AUTOR COMO CLIENTE: PORTAL, DERECHOS Y LIQUIDACIONES</w:t>
      </w:r>
    </w:p>
    <w:p>
      <w:pPr>
        <w:pStyle w:val="Heading1"/>
      </w:pPr>
      <w:r>
        <w:t xml:space="preserve">Lección 5.2 · El área de autor</w:t>
      </w:r>
    </w:p>
    <w:p>
      <w:pPr>
        <w:pBdr>
          <w:bottom w:val="single" w:color="D1D5DB" w:sz="8" w:space="6"/>
        </w:pBdr>
        <w:spacing w:after="240"/>
      </w:pPr>
      <w:r>
        <w:rPr>
          <w:color w:val="363C4A"/>
          <w:sz w:val="20"/>
          <w:szCs w:val="20"/>
        </w:rPr>
        <w:t xml:space="preserve">Vídeo: 8 min · Lectura: 8 min</w:t>
      </w:r>
    </w:p>
    <w:p>
      <w:pPr>
        <w:shd w:fill="FBE7EC" w:color="auto" w:val="clear"/>
        <w:spacing w:after="240"/>
        <w:ind w:left="200" w:right="200"/>
      </w:pPr>
      <w:r>
        <w:rPr>
          <w:b/>
          <w:bCs/>
          <w:color w:val="DB143C"/>
        </w:rPr>
        <w:t xml:space="preserve">Entregable de la lección: </w:t>
      </w:r>
      <w:r>
        <w:t xml:space="preserve">El área de autor de tu sello montada, con las cinco secciones y con los datos de un autor real dentro, revisada antes de darle acceso.</w:t>
      </w:r>
    </w:p>
    <w:p>
      <w:pPr>
        <w:pStyle w:val="Heading2"/>
      </w:pPr>
      <w:r>
        <w:t xml:space="preserve">La casa del autor dentro de tu editorial</w:t>
      </w:r>
    </w:p>
    <w:p>
      <w:pPr>
        <w:spacing w:after="160"/>
        <w:jc w:val="both"/>
      </w:pPr>
      <w:r>
        <w:t xml:space="preserve">Un portal de autor no es una concesión moderna: es la respuesta a la pregunta que todos los autores hacen y casi ninguna editorial pequeña puede contestar rápido. Cuando existe, cambian tres cosas a la vez: se acaban las llamadas, se acaban los correos de «mándame otra vez el contrato» y, sobre todo, se acaba la sospecha.</w:t>
      </w:r>
    </w:p>
    <w:p>
      <w:pPr>
        <w:pStyle w:val="Heading2"/>
      </w:pPr>
      <w:r>
        <w:t xml:space="preserve">Las cinco secciones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shd w:fill="F3F0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363C4A"/>
                <w:sz w:val="18"/>
                <w:szCs w:val="18"/>
              </w:rPr>
              <w:t xml:space="preserve">Sección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shd w:fill="F3F0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363C4A"/>
                <w:sz w:val="18"/>
                <w:szCs w:val="18"/>
              </w:rPr>
              <w:t xml:space="preserve">Qué contiene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Sus ventas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Unidades por título, formato, canal y mes, con gráfico simple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Su liquidación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La última en PDF, las anteriores, y el desglose línea a línea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Su contrato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Copia del firmado + resumen arriba: porcentaje, duración, formatos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Su obra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Ficha, portada, enlaces de compra, materiales para compartir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 interlocutor en la editorial, con nombre y correo</w:t>
            </w:r>
          </w:p>
        </w:tc>
      </w:tr>
    </w:tbl>
    <w:p>
      <w:pPr>
        <w:spacing w:after="120"/>
      </w:pPr>
    </w:p>
    <w:p>
      <w:pPr>
        <w:spacing w:after="160"/>
        <w:jc w:val="both"/>
      </w:pPr>
      <w:r>
        <w:t xml:space="preserve">El resumen del contrato es más útil de lo que parece: evita que el autor tenga que leerse doce páginas cada vez que quiere recordar su porcentaje, y evita que te lo pregunte a ti.</w:t>
      </w:r>
    </w:p>
    <w:p>
      <w:pPr>
        <w:pStyle w:val="Heading2"/>
      </w:pPr>
      <w:r>
        <w:t xml:space="preserve">Qué ve y qué no ve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shd w:fill="F3F0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363C4A"/>
                <w:sz w:val="18"/>
                <w:szCs w:val="18"/>
              </w:rPr>
              <w:t xml:space="preserve">Ve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shd w:fill="F3F0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363C4A"/>
                <w:sz w:val="18"/>
                <w:szCs w:val="18"/>
              </w:rPr>
              <w:t xml:space="preserve">No ve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Sus obras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El catálogo de los demás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Sus ventas por canal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Los costes de producción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Sus liquidaciones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El margen de la editorial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 contrato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Los contratos de otros autores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Sus materiales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Los datos de cualquier otro autor</w:t>
            </w:r>
          </w:p>
        </w:tc>
      </w:tr>
    </w:tbl>
    <w:p>
      <w:pPr>
        <w:spacing w:after="120"/>
      </w:pPr>
    </w:p>
    <w:p>
      <w:pPr>
        <w:spacing w:after="160"/>
        <w:jc w:val="both"/>
      </w:pPr>
      <w:r>
        <w:t xml:space="preserve">Y una comprobación que no se puede saltar: </w:t>
      </w:r>
      <w:r>
        <w:rPr>
          <w:b/>
          <w:bCs/>
        </w:rPr>
        <w:t xml:space="preserve">que no se pueda llegar a lo ajeno cambiando un número en la dirección web</w:t>
      </w:r>
      <w:r>
        <w:t xml:space="preserve">. Es el fallo clásico de todos los portales y se prueba en cinco minutos con dos cuentas distintas antes de abrir el acceso a nadie.</w:t>
      </w:r>
    </w:p>
    <w:p>
      <w:pPr>
        <w:pStyle w:val="Heading2"/>
      </w:pPr>
      <w:r>
        <w:t xml:space="preserve">El número que no puede mentir</w:t>
      </w:r>
    </w:p>
    <w:p>
      <w:pPr>
        <w:spacing w:after="160"/>
        <w:jc w:val="both"/>
      </w:pPr>
      <w:r>
        <w:t xml:space="preserve">Los canales informan a ritmos distintos (lección 4.5). El portal tiene que decirlo:</w:t>
      </w:r>
    </w:p>
    <w:p>
      <w:pPr>
        <w:shd w:fill="1C1819" w:color="auto" w:val="clear"/>
        <w:spacing w:after="0" w:before="120"/>
        <w:ind w:left="240" w:right="240"/>
      </w:pPr>
      <w:r>
        <w:rPr>
          <w:rFonts w:ascii="Consolas" w:cs="Consolas" w:eastAsia="Consolas" w:hAnsi="Consolas"/>
          <w:color w:val="F3EDED"/>
          <w:sz w:val="19"/>
          <w:szCs w:val="19"/>
        </w:rPr>
        <w:t xml:space="preserve">Ventas de "La casa del rio"</w:t>
      </w:r>
    </w:p>
    <w:p>
      <w:pPr>
        <w:shd w:fill="1C1819" w:color="auto" w:val="clear"/>
        <w:spacing w:after="0" w:before="0"/>
        <w:ind w:left="240" w:right="240"/>
      </w:pPr>
      <w:r>
        <w:rPr>
          <w:rFonts w:ascii="Consolas" w:cs="Consolas" w:eastAsia="Consolas" w:hAnsi="Consolas"/>
          <w:color w:val="F3EDED"/>
          <w:sz w:val="19"/>
          <w:szCs w:val="19"/>
        </w:rPr>
        <w:t xml:space="preserve">Tienda propia .......... hasta hoy</w:t>
      </w:r>
    </w:p>
    <w:p>
      <w:pPr>
        <w:shd w:fill="1C1819" w:color="auto" w:val="clear"/>
        <w:spacing w:after="0" w:before="0"/>
        <w:ind w:left="240" w:right="240"/>
      </w:pPr>
      <w:r>
        <w:rPr>
          <w:rFonts w:ascii="Consolas" w:cs="Consolas" w:eastAsia="Consolas" w:hAnsi="Consolas"/>
          <w:color w:val="F3EDED"/>
          <w:sz w:val="19"/>
          <w:szCs w:val="19"/>
        </w:rPr>
        <w:t xml:space="preserve">Plataformas ............ hasta el 31 de agosto</w:t>
      </w:r>
    </w:p>
    <w:p>
      <w:pPr>
        <w:shd w:fill="1C1819" w:color="auto" w:val="clear"/>
        <w:spacing w:after="0" w:before="0"/>
        <w:ind w:left="240" w:right="240"/>
      </w:pPr>
      <w:r>
        <w:rPr>
          <w:rFonts w:ascii="Consolas" w:cs="Consolas" w:eastAsia="Consolas" w:hAnsi="Consolas"/>
          <w:color w:val="F3EDED"/>
          <w:sz w:val="19"/>
          <w:szCs w:val="19"/>
        </w:rPr>
        <w:t xml:space="preserve">Distribuidora .......... hasta el 30 de junio</w:t>
      </w:r>
    </w:p>
    <w:p>
      <w:pPr>
        <w:shd w:fill="1C1819" w:color="auto" w:val="clear"/>
        <w:spacing w:after="200" w:before="0"/>
        <w:ind w:left="240" w:right="240"/>
      </w:pPr>
      <w:r>
        <w:rPr>
          <w:rFonts w:ascii="Consolas" w:cs="Consolas" w:eastAsia="Consolas" w:hAnsi="Consolas"/>
          <w:color w:val="F3EDED"/>
          <w:sz w:val="19"/>
          <w:szCs w:val="19"/>
        </w:rPr>
        <w:t xml:space="preserve">Librerias directas ..... hasta la ultima liquidacion de deposito</w:t>
      </w:r>
    </w:p>
    <w:p>
      <w:pPr>
        <w:spacing w:after="160"/>
        <w:jc w:val="both"/>
      </w:pPr>
      <w:r>
        <w:t xml:space="preserve">Antes un número parcial y honesto que uno redondo y falso. El día que el autor cruce su cifra con la tuya (y lo va a hacer), tiene que cuadrar.</w:t>
      </w:r>
    </w:p>
    <w:p>
      <w:pPr>
        <w:pStyle w:val="Heading2"/>
      </w:pPr>
      <w:r>
        <w:t xml:space="preserve">El tono</w:t>
      </w:r>
    </w:p>
    <w:p>
      <w:pPr>
        <w:spacing w:after="160"/>
        <w:jc w:val="both"/>
      </w:pPr>
      <w:r>
        <w:t xml:space="preserve">El área de autor no es un panel de administración. Es la casa del autor dentro de tu editorial: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Su nombre arriba, no «Portal de proveedores».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 portada de su libro, grande.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Las cifras explicadas en una línea, no columnas sin encabezado claro.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 texto de bienvenida escrito por una persona.</w:t>
      </w:r>
    </w:p>
    <w:p>
      <w:pPr>
        <w:spacing w:after="160"/>
        <w:jc w:val="both"/>
      </w:pPr>
      <w:r>
        <w:t xml:space="preserve">Cuesta lo mismo montarlo de las dos maneras, y la diferencia se nota en cómo habla de ti ese autor cuando le preguntan por su editorial.</w:t>
      </w:r>
    </w:p>
    <w:p>
      <w:pPr>
        <w:pStyle w:val="Heading2"/>
      </w:pPr>
      <w:r>
        <w:t xml:space="preserve">Lo que el autor puede hacer, además de mirar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shd w:fill="F3F0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363C4A"/>
                <w:sz w:val="18"/>
                <w:szCs w:val="18"/>
              </w:rPr>
              <w:t xml:space="preserve">Acción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shd w:fill="F3F0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363C4A"/>
                <w:sz w:val="18"/>
                <w:szCs w:val="18"/>
              </w:rPr>
              <w:t xml:space="preserve">Por qué conviene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Descargar sus liquidaciones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Para su declaración y su gestoría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Descargar los materiales de su obra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Portadas, fichas, cartel: los usa en sus redes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Actualizar sus datos de contacto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Un cambio de cuenta bancaria lo comunica él, y se avisa a la editorial para validarlo</w:t>
            </w:r>
          </w:p>
        </w:tc>
      </w:tr>
      <w:tr>
        <w:trPr>
          <w:tblHeader w:val="false"/>
        </w:trPr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Escribir a su interlocutor</w:t>
            </w:r>
          </w:p>
        </w:tc>
        <w:tc>
          <w:tcPr>
            <w:tcW w:type="dxa" w:w="4500"/>
            <w:tcBorders>
              <w:top w:val="single" w:color="D1D5DB" w:sz="4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Queda registrado en su ficha</w:t>
            </w:r>
          </w:p>
        </w:tc>
      </w:tr>
    </w:tbl>
    <w:p>
      <w:pPr>
        <w:spacing w:after="120"/>
      </w:pPr>
    </w:p>
    <w:p>
      <w:pPr>
        <w:spacing w:after="160"/>
        <w:jc w:val="both"/>
      </w:pPr>
      <w:r>
        <w:t xml:space="preserve">Un aviso sobre el tercero: el autor puede </w:t>
      </w:r>
      <w:r>
        <w:rPr>
          <w:b/>
          <w:bCs/>
        </w:rPr>
        <w:t xml:space="preserve">solicitar</w:t>
      </w:r>
      <w:r>
        <w:t xml:space="preserve"> el cambio de datos bancarios; el cambio lo confirma una persona de la editorial. Es la puerta de entrada más habitual del fraude en cualquier portal, y esto se ve a fondo en el módulo 7.</w:t>
      </w:r>
    </w:p>
    <w:p>
      <w:pPr>
        <w:pStyle w:val="Heading2"/>
      </w:pPr>
      <w:r>
        <w:t xml:space="preserve">Errores frecuentes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Enseñar cifras sin fecha de corte.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No probar el acceso cruzado</w:t>
      </w:r>
      <w:r>
        <w:t xml:space="preserve"> entre dos cuentas.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Un portal con aspecto de hoja de cálculo.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Publicar el contrato sin el resumen</w:t>
      </w:r>
      <w:r>
        <w:t xml:space="preserve"> de lo esencial.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Dejar que el autor cambie solo su cuenta bancaria.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Prometer tiempo real</w:t>
      </w:r>
      <w:r>
        <w:t xml:space="preserve"> en canales que informan al trimestre.</w:t>
      </w:r>
    </w:p>
    <w:p>
      <w:pPr>
        <w:pStyle w:val="Heading2"/>
      </w:pPr>
      <w:r>
        <w:t xml:space="preserve">Resumen</w:t>
      </w:r>
    </w:p>
    <w:p>
      <w:pPr>
        <w:spacing w:after="160"/>
        <w:jc w:val="both"/>
      </w:pPr>
      <w:r>
        <w:t xml:space="preserve">Cinco secciones, límites estrictos de lo que ve cada autor, comprobados con dos cuentas; cifras con su fecha de corte y con lo que falta por informar; y un tono que trate al autor como de la casa. Con eso se acaban las llamadas y, sobre todo, la sospecha.</w:t>
      </w:r>
    </w:p>
    <w:p>
      <w:pPr>
        <w:pStyle w:val="Heading2"/>
      </w:pPr>
      <w:r>
        <w:t xml:space="preserve">Práctica · qué entregas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Monta el área de autor con las cinco secciones.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Carga los datos reales de un autor, sin darle acceso todavía.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Añade a cada cifra su fecha de corte y la nota de canales pendientes.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el resumen de contrato que aparece encima del PDF.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Prueba con dos cuentas distintas que ninguna llega a los datos de la otra.</w:t>
      </w:r>
    </w:p>
    <w:p>
      <w:pPr>
        <w:spacing w:after="160"/>
        <w:jc w:val="both"/>
      </w:pPr>
      <w:r>
        <w:t xml:space="preserve">Sube capturas de las cinco secciones, con los datos personales tapados, y el resultado de la prueba de acceso cruzado.</w:t>
      </w:r>
    </w:p>
    <w:p>
      <w:pPr>
        <w:pStyle w:val="Heading2"/>
      </w:pPr>
      <w:r>
        <w:t xml:space="preserve">Comprueba lo aprendido</w:t>
      </w:r>
    </w:p>
    <w:p>
      <w:pPr>
        <w:spacing w:after="60" w:before="120"/>
      </w:pPr>
      <w:r>
        <w:rPr>
          <w:b/>
          <w:bCs/>
        </w:rPr>
        <w:t xml:space="preserve">¿Cuántas secciones tiene el área de autor?</w:t>
      </w:r>
    </w:p>
    <w:p>
      <w:pPr>
        <w:spacing w:after="40"/>
        <w:ind w:left="480"/>
      </w:pPr>
      <w:r>
        <w:rPr>
          <w:b/>
          <w:bCs/>
          <w:color w:val="DB143C"/>
        </w:rPr>
        <w:t xml:space="preserve">☑ Cinco: ventas, liquidación, contrato, obra y contacto</w:t>
      </w:r>
    </w:p>
    <w:p>
      <w:pPr>
        <w:spacing w:after="40"/>
        <w:ind w:left="480"/>
      </w:pPr>
      <w:r>
        <w:rPr>
          <w:b w:val="false"/>
          <w:bCs w:val="false"/>
          <w:color w:val="0D0D0D"/>
        </w:rPr>
        <w:t xml:space="preserve">☐ Una: la liquidación</w:t>
      </w:r>
    </w:p>
    <w:p>
      <w:pPr>
        <w:spacing w:after="40"/>
        <w:ind w:left="480"/>
      </w:pPr>
      <w:r>
        <w:rPr>
          <w:b w:val="false"/>
          <w:bCs w:val="false"/>
          <w:color w:val="0D0D0D"/>
        </w:rPr>
        <w:t xml:space="preserve">☐ Todas las del sistema de gestión</w:t>
      </w:r>
    </w:p>
    <w:p>
      <w:pPr>
        <w:spacing w:after="60" w:before="120"/>
      </w:pPr>
      <w:r>
        <w:rPr>
          <w:b/>
          <w:bCs/>
        </w:rPr>
        <w:t xml:space="preserve">¿Qué comprobación no se puede saltar antes de abrir el portal?</w:t>
      </w:r>
    </w:p>
    <w:p>
      <w:pPr>
        <w:spacing w:after="40"/>
        <w:ind w:left="480"/>
      </w:pPr>
      <w:r>
        <w:rPr>
          <w:b/>
          <w:bCs/>
          <w:color w:val="DB143C"/>
        </w:rPr>
        <w:t xml:space="preserve">☑ Que un autor no llegue a los datos de otro cambiando la dirección web</w:t>
      </w:r>
    </w:p>
    <w:p>
      <w:pPr>
        <w:spacing w:after="40"/>
        <w:ind w:left="480"/>
      </w:pPr>
      <w:r>
        <w:rPr>
          <w:b w:val="false"/>
          <w:bCs w:val="false"/>
          <w:color w:val="0D0D0D"/>
        </w:rPr>
        <w:t xml:space="preserve">☐ Que la portada se vea grande</w:t>
      </w:r>
    </w:p>
    <w:p>
      <w:pPr>
        <w:spacing w:after="40"/>
        <w:ind w:left="480"/>
      </w:pPr>
      <w:r>
        <w:rPr>
          <w:b w:val="false"/>
          <w:bCs w:val="false"/>
          <w:color w:val="0D0D0D"/>
        </w:rPr>
        <w:t xml:space="preserve">☐ Que funcione en tableta</w:t>
      </w:r>
    </w:p>
    <w:p>
      <w:pPr>
        <w:spacing w:after="60" w:before="120"/>
      </w:pPr>
      <w:r>
        <w:rPr>
          <w:b/>
          <w:bCs/>
        </w:rPr>
        <w:t xml:space="preserve">¿Qué acompaña siempre a cada cifra de ventas?</w:t>
      </w:r>
    </w:p>
    <w:p>
      <w:pPr>
        <w:spacing w:after="40"/>
        <w:ind w:left="480"/>
      </w:pPr>
      <w:r>
        <w:rPr>
          <w:b/>
          <w:bCs/>
          <w:color w:val="DB143C"/>
        </w:rPr>
        <w:t xml:space="preserve">☑ Su fecha de corte y qué canales faltan por informar</w:t>
      </w:r>
    </w:p>
    <w:p>
      <w:pPr>
        <w:spacing w:after="40"/>
        <w:ind w:left="480"/>
      </w:pPr>
      <w:r>
        <w:rPr>
          <w:b w:val="false"/>
          <w:bCs w:val="false"/>
          <w:color w:val="0D0D0D"/>
        </w:rPr>
        <w:t xml:space="preserve">☐ El precio de venta al público</w:t>
      </w:r>
    </w:p>
    <w:p>
      <w:pPr>
        <w:spacing w:after="40"/>
        <w:ind w:left="480"/>
      </w:pPr>
      <w:r>
        <w:rPr>
          <w:b w:val="false"/>
          <w:bCs w:val="false"/>
          <w:color w:val="0D0D0D"/>
        </w:rPr>
        <w:t xml:space="preserve">☐ El nombre del comercial</w:t>
      </w:r>
    </w:p>
    <w:p>
      <w:pPr>
        <w:spacing w:after="60" w:before="120"/>
      </w:pPr>
      <w:r>
        <w:rPr>
          <w:b/>
          <w:bCs/>
        </w:rPr>
        <w:t xml:space="preserve">¿Qué puede hacer el autor con sus datos bancarios?</w:t>
      </w:r>
    </w:p>
    <w:p>
      <w:pPr>
        <w:spacing w:after="40"/>
        <w:ind w:left="480"/>
      </w:pPr>
      <w:r>
        <w:rPr>
          <w:b/>
          <w:bCs/>
          <w:color w:val="DB143C"/>
        </w:rPr>
        <w:t xml:space="preserve">☑ Solicitar el cambio, que confirma una persona de la editorial</w:t>
      </w:r>
    </w:p>
    <w:p>
      <w:pPr>
        <w:spacing w:after="40"/>
        <w:ind w:left="480"/>
      </w:pPr>
      <w:r>
        <w:rPr>
          <w:b w:val="false"/>
          <w:bCs w:val="false"/>
          <w:color w:val="0D0D0D"/>
        </w:rPr>
        <w:t xml:space="preserve">☐ Cambiarlos él directamente</w:t>
      </w:r>
    </w:p>
    <w:p>
      <w:pPr>
        <w:spacing w:after="40"/>
        <w:ind w:left="480"/>
      </w:pPr>
      <w:r>
        <w:rPr>
          <w:b w:val="false"/>
          <w:bCs w:val="false"/>
          <w:color w:val="0D0D0D"/>
        </w:rPr>
        <w:t xml:space="preserve">☐ Nada, se gestionan por teléfono</w:t>
      </w:r>
    </w:p>
    <w:p>
      <w:pPr>
        <w:spacing w:after="60" w:before="120"/>
      </w:pPr>
      <w:r>
        <w:rPr>
          <w:b/>
          <w:bCs/>
        </w:rPr>
        <w:t xml:space="preserve">¿Cuál es el efecto menos evidente y más valioso del portal?</w:t>
      </w:r>
    </w:p>
    <w:p>
      <w:pPr>
        <w:spacing w:after="40"/>
        <w:ind w:left="480"/>
      </w:pPr>
      <w:r>
        <w:rPr>
          <w:b/>
          <w:bCs/>
          <w:color w:val="DB143C"/>
        </w:rPr>
        <w:t xml:space="preserve">☑ Que el autor deja de sospechar, porque ve el dato en cuanto ocurre</w:t>
      </w:r>
    </w:p>
    <w:p>
      <w:pPr>
        <w:spacing w:after="40"/>
        <w:ind w:left="480"/>
      </w:pPr>
      <w:r>
        <w:rPr>
          <w:b w:val="false"/>
          <w:bCs w:val="false"/>
          <w:color w:val="0D0D0D"/>
        </w:rPr>
        <w:t xml:space="preserve">☐ Que la editorial ahorra papel</w:t>
      </w:r>
    </w:p>
    <w:p>
      <w:pPr>
        <w:spacing w:after="40"/>
        <w:ind w:left="480"/>
      </w:pPr>
      <w:r>
        <w:rPr>
          <w:b w:val="false"/>
          <w:bCs w:val="false"/>
          <w:color w:val="0D0D0D"/>
        </w:rPr>
        <w:t xml:space="preserve">☐ Que suben las ventas</w:t>
      </w:r>
    </w:p>
    <w:sectPr>
      <w:headerReference w:type="default" r:id="rId7"/>
      <w:footerReference w:type="default" r:id="rId8"/>
      <w:pgSz w:w="11906" w:h="16838" w:orient="portrait"/>
      <w:pgMar w:top="1300" w:right="1400" w:bottom="12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00"/>
      </w:tabs>
    </w:pPr>
    <w:r>
      <w:rPr>
        <w:color w:val="363C4A"/>
        <w:sz w:val="16"/>
        <w:szCs w:val="16"/>
      </w:rPr>
      <w:t xml:space="preserve">Grupo Dauro · Dauro IA · Formación · Granada</w:t>
    </w:r>
    <w:r>
      <w:rPr>
        <w:color w:val="363C4A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6" w:space="4"/>
      </w:pBdr>
      <w:tabs>
        <w:tab w:val="right" w:pos="9600"/>
      </w:tabs>
    </w:pPr>
    <w:r>
      <w:rPr>
        <w:color w:val="363C4A"/>
        <w:spacing w:val="40"/>
        <w:sz w:val="16"/>
        <w:szCs w:val="16"/>
      </w:rPr>
      <w:t xml:space="preserve">GRUPO DAURO · DAURO IA</w:t>
    </w:r>
    <w:r>
      <w:rPr>
        <w:color w:val="DB143C"/>
        <w:spacing w:val="40"/>
        <w:sz w:val="16"/>
        <w:szCs w:val="16"/>
      </w:rPr>
      <w:t xml:space="preserve">	LA EDITORIAL AUTOMATIZADA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  <w:rPr>
        <w:color w:val="DB143C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  <w:rPr>
        <w:b/>
        <w:bCs/>
        <w:color w:val="DB143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D0D0D"/>
        <w:sz w:val="22"/>
        <w:szCs w:val="22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rFonts w:ascii="Arial" w:cs="Arial" w:eastAsia="Arial" w:hAnsi="Arial"/>
      <w:color w:val="0D0D0D"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Arial" w:cs="Arial" w:eastAsia="Arial" w:hAnsi="Arial"/>
      <w:color w:val="DB143C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rFonts w:ascii="Calibri" w:cs="Calibri" w:eastAsia="Calibri" w:hAnsi="Calibri"/>
      <w:b/>
      <w:bCs/>
      <w:color w:val="0D0D0D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bde62dfd0254296157669b8af38227717c47f9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Lección 5.2 · El área de autor</dc:title>
  <dc:creator>Dauro IA</dc:creator>
  <cp:lastModifiedBy>Un-named</cp:lastModifiedBy>
  <cp:revision>1</cp:revision>
  <dcterms:created xsi:type="dcterms:W3CDTF">2026-09-10T12:37:46.765Z</dcterms:created>
  <dcterms:modified xsi:type="dcterms:W3CDTF">2026-09-10T12:37:46.765Z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